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26"/>
        <w:tblW w:w="93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20" w:firstRow="1" w:lastRow="0" w:firstColumn="0" w:lastColumn="0" w:noHBand="0" w:noVBand="0"/>
      </w:tblPr>
      <w:tblGrid>
        <w:gridCol w:w="1254"/>
        <w:gridCol w:w="4536"/>
        <w:gridCol w:w="3544"/>
      </w:tblGrid>
      <w:tr w:rsidR="00384BED" w:rsidRPr="00CB2AE2" w:rsidTr="00384BED">
        <w:trPr>
          <w:trHeight w:val="762"/>
        </w:trPr>
        <w:tc>
          <w:tcPr>
            <w:tcW w:w="1254" w:type="dxa"/>
            <w:shd w:val="clear" w:color="auto" w:fill="D9D9D9" w:themeFill="background1" w:themeFillShade="D9"/>
            <w:vAlign w:val="center"/>
          </w:tcPr>
          <w:p w:rsidR="00384BED" w:rsidRPr="00225D0D" w:rsidRDefault="00384BED" w:rsidP="00384BED">
            <w:pPr>
              <w:spacing w:before="120" w:after="120"/>
              <w:jc w:val="center"/>
              <w:rPr>
                <w:rFonts w:ascii="Arial" w:hAnsi="Arial" w:cs="Arial"/>
                <w:b/>
                <w:sz w:val="20"/>
                <w:szCs w:val="20"/>
              </w:rPr>
            </w:pPr>
            <w:r w:rsidRPr="00225D0D">
              <w:rPr>
                <w:rFonts w:ascii="Arial" w:hAnsi="Arial" w:cs="Arial"/>
                <w:b/>
                <w:sz w:val="20"/>
                <w:szCs w:val="20"/>
              </w:rPr>
              <w:t>Model Run</w:t>
            </w:r>
          </w:p>
        </w:tc>
        <w:tc>
          <w:tcPr>
            <w:tcW w:w="4536" w:type="dxa"/>
            <w:shd w:val="clear" w:color="auto" w:fill="D9D9D9" w:themeFill="background1" w:themeFillShade="D9"/>
            <w:vAlign w:val="center"/>
          </w:tcPr>
          <w:p w:rsidR="00384BED" w:rsidRPr="00225D0D" w:rsidRDefault="00384BED" w:rsidP="00384BED">
            <w:pPr>
              <w:spacing w:before="120" w:after="120"/>
              <w:jc w:val="center"/>
              <w:rPr>
                <w:rFonts w:ascii="Arial" w:hAnsi="Arial" w:cs="Arial"/>
                <w:b/>
                <w:sz w:val="20"/>
                <w:szCs w:val="20"/>
              </w:rPr>
            </w:pPr>
            <w:r w:rsidRPr="00225D0D">
              <w:rPr>
                <w:rFonts w:ascii="Arial" w:hAnsi="Arial" w:cs="Arial"/>
                <w:b/>
                <w:sz w:val="20"/>
                <w:szCs w:val="20"/>
              </w:rPr>
              <w:t>Additional Mitigation Measures</w:t>
            </w:r>
          </w:p>
        </w:tc>
        <w:tc>
          <w:tcPr>
            <w:tcW w:w="3544" w:type="dxa"/>
            <w:shd w:val="clear" w:color="auto" w:fill="D9D9D9" w:themeFill="background1" w:themeFillShade="D9"/>
            <w:vAlign w:val="center"/>
          </w:tcPr>
          <w:p w:rsidR="00384BED" w:rsidRPr="00225D0D" w:rsidRDefault="00384BED" w:rsidP="00384BED">
            <w:pPr>
              <w:spacing w:before="120" w:after="120"/>
              <w:jc w:val="center"/>
              <w:rPr>
                <w:rFonts w:ascii="Arial" w:hAnsi="Arial" w:cs="Arial"/>
                <w:b/>
                <w:sz w:val="20"/>
                <w:szCs w:val="20"/>
              </w:rPr>
            </w:pPr>
            <w:r w:rsidRPr="00225D0D">
              <w:rPr>
                <w:rFonts w:ascii="Arial" w:hAnsi="Arial" w:cs="Arial"/>
                <w:b/>
                <w:sz w:val="20"/>
                <w:szCs w:val="20"/>
              </w:rPr>
              <w:t>Risks</w:t>
            </w:r>
          </w:p>
        </w:tc>
      </w:tr>
      <w:tr w:rsidR="00384BED" w:rsidRPr="005813F4" w:rsidTr="00384BED">
        <w:trPr>
          <w:trHeight w:val="762"/>
        </w:trPr>
        <w:tc>
          <w:tcPr>
            <w:tcW w:w="1254" w:type="dxa"/>
            <w:shd w:val="clear" w:color="auto" w:fill="FFFFFF" w:themeFill="background1"/>
            <w:vAlign w:val="center"/>
          </w:tcPr>
          <w:p w:rsidR="00384BED" w:rsidRPr="005813F4" w:rsidRDefault="00384BED" w:rsidP="00384BED">
            <w:pPr>
              <w:spacing w:before="120" w:after="120"/>
              <w:jc w:val="center"/>
              <w:rPr>
                <w:rFonts w:ascii="Arial" w:hAnsi="Arial" w:cs="Arial"/>
                <w:sz w:val="20"/>
                <w:szCs w:val="20"/>
              </w:rPr>
            </w:pPr>
            <w:r>
              <w:rPr>
                <w:rFonts w:ascii="Arial" w:hAnsi="Arial" w:cs="Arial"/>
                <w:sz w:val="20"/>
                <w:szCs w:val="20"/>
              </w:rPr>
              <w:t>3a</w:t>
            </w:r>
          </w:p>
        </w:tc>
        <w:tc>
          <w:tcPr>
            <w:tcW w:w="4536" w:type="dxa"/>
            <w:shd w:val="clear" w:color="auto" w:fill="FFFFFF" w:themeFill="background1"/>
            <w:vAlign w:val="center"/>
          </w:tcPr>
          <w:p w:rsidR="00384BED" w:rsidRPr="005813F4" w:rsidRDefault="00384BED" w:rsidP="00384BED">
            <w:pPr>
              <w:tabs>
                <w:tab w:val="left" w:pos="375"/>
              </w:tabs>
              <w:spacing w:before="40" w:after="40"/>
              <w:jc w:val="center"/>
              <w:rPr>
                <w:rFonts w:ascii="Arial" w:hAnsi="Arial" w:cs="Arial"/>
                <w:sz w:val="20"/>
                <w:szCs w:val="20"/>
              </w:rPr>
            </w:pPr>
            <w:r>
              <w:rPr>
                <w:rFonts w:ascii="Arial" w:hAnsi="Arial" w:cs="Arial"/>
                <w:sz w:val="20"/>
                <w:szCs w:val="20"/>
              </w:rPr>
              <w:t xml:space="preserve">Increase the </w:t>
            </w:r>
            <w:proofErr w:type="spellStart"/>
            <w:r>
              <w:rPr>
                <w:rFonts w:ascii="Arial" w:hAnsi="Arial" w:cs="Arial"/>
                <w:sz w:val="20"/>
                <w:szCs w:val="20"/>
              </w:rPr>
              <w:t>Hinksey</w:t>
            </w:r>
            <w:proofErr w:type="spellEnd"/>
            <w:r>
              <w:rPr>
                <w:rFonts w:ascii="Arial" w:hAnsi="Arial" w:cs="Arial"/>
                <w:sz w:val="20"/>
                <w:szCs w:val="20"/>
              </w:rPr>
              <w:t xml:space="preserve"> Stream channel capacity by 50% between the outlet of the proposed culvert and Abingdon Road Bridge, attendant with the removal of </w:t>
            </w:r>
            <w:proofErr w:type="spellStart"/>
            <w:r>
              <w:rPr>
                <w:rFonts w:ascii="Arial" w:hAnsi="Arial" w:cs="Arial"/>
                <w:sz w:val="20"/>
                <w:szCs w:val="20"/>
              </w:rPr>
              <w:t>Towles</w:t>
            </w:r>
            <w:proofErr w:type="spellEnd"/>
            <w:r>
              <w:rPr>
                <w:rFonts w:ascii="Arial" w:hAnsi="Arial" w:cs="Arial"/>
                <w:sz w:val="20"/>
                <w:szCs w:val="20"/>
              </w:rPr>
              <w:t xml:space="preserve"> Mill weir</w:t>
            </w:r>
          </w:p>
        </w:tc>
        <w:tc>
          <w:tcPr>
            <w:tcW w:w="3544" w:type="dxa"/>
            <w:vMerge w:val="restart"/>
            <w:shd w:val="clear" w:color="auto" w:fill="FFFFFF" w:themeFill="background1"/>
            <w:vAlign w:val="center"/>
          </w:tcPr>
          <w:p w:rsidR="00384BED" w:rsidRPr="005813F4" w:rsidRDefault="00384BED" w:rsidP="00384BED">
            <w:pPr>
              <w:tabs>
                <w:tab w:val="left" w:pos="375"/>
              </w:tabs>
              <w:spacing w:before="40" w:after="40"/>
              <w:jc w:val="center"/>
              <w:rPr>
                <w:rFonts w:ascii="Arial" w:hAnsi="Arial" w:cs="Arial"/>
                <w:sz w:val="20"/>
                <w:szCs w:val="20"/>
              </w:rPr>
            </w:pPr>
            <w:r>
              <w:rPr>
                <w:rFonts w:ascii="Arial" w:hAnsi="Arial" w:cs="Arial"/>
                <w:sz w:val="20"/>
                <w:szCs w:val="20"/>
              </w:rPr>
              <w:t>During the 1 in 5 year return period both simulations increased conveyance of water beneath the railway corridor which resulted in higher flood depths to the east. These were dismissed as they posed a more severe flood risk than the stand alone culvert option.</w:t>
            </w:r>
          </w:p>
        </w:tc>
      </w:tr>
      <w:tr w:rsidR="00384BED" w:rsidRPr="005813F4" w:rsidTr="00384BED">
        <w:trPr>
          <w:trHeight w:val="165"/>
        </w:trPr>
        <w:tc>
          <w:tcPr>
            <w:tcW w:w="1254" w:type="dxa"/>
            <w:shd w:val="clear" w:color="auto" w:fill="FFFFFF" w:themeFill="background1"/>
            <w:vAlign w:val="center"/>
          </w:tcPr>
          <w:p w:rsidR="00384BED" w:rsidRPr="005813F4" w:rsidDel="003178EA" w:rsidRDefault="00384BED" w:rsidP="00384BED">
            <w:pPr>
              <w:spacing w:before="120" w:after="120"/>
              <w:jc w:val="center"/>
              <w:rPr>
                <w:rFonts w:ascii="Arial" w:hAnsi="Arial" w:cs="Arial"/>
                <w:sz w:val="20"/>
                <w:szCs w:val="20"/>
              </w:rPr>
            </w:pPr>
            <w:r>
              <w:rPr>
                <w:rFonts w:ascii="Arial" w:hAnsi="Arial" w:cs="Arial"/>
                <w:sz w:val="20"/>
                <w:szCs w:val="20"/>
              </w:rPr>
              <w:t>3b</w:t>
            </w:r>
          </w:p>
        </w:tc>
        <w:tc>
          <w:tcPr>
            <w:tcW w:w="4536" w:type="dxa"/>
            <w:shd w:val="clear" w:color="auto" w:fill="FFFFFF" w:themeFill="background1"/>
            <w:vAlign w:val="center"/>
          </w:tcPr>
          <w:p w:rsidR="00384BED" w:rsidRPr="005813F4" w:rsidRDefault="00384BED" w:rsidP="00384BED">
            <w:pPr>
              <w:tabs>
                <w:tab w:val="left" w:pos="375"/>
              </w:tabs>
              <w:spacing w:before="40" w:after="40"/>
              <w:jc w:val="center"/>
              <w:rPr>
                <w:rFonts w:ascii="Arial" w:hAnsi="Arial" w:cs="Arial"/>
                <w:sz w:val="20"/>
                <w:szCs w:val="20"/>
              </w:rPr>
            </w:pPr>
            <w:r>
              <w:rPr>
                <w:rFonts w:ascii="Arial" w:hAnsi="Arial" w:cs="Arial"/>
                <w:sz w:val="20"/>
                <w:szCs w:val="20"/>
              </w:rPr>
              <w:t xml:space="preserve">Increase the </w:t>
            </w:r>
            <w:proofErr w:type="spellStart"/>
            <w:r>
              <w:rPr>
                <w:rFonts w:ascii="Arial" w:hAnsi="Arial" w:cs="Arial"/>
                <w:sz w:val="20"/>
                <w:szCs w:val="20"/>
              </w:rPr>
              <w:t>Hinksey</w:t>
            </w:r>
            <w:proofErr w:type="spellEnd"/>
            <w:r>
              <w:rPr>
                <w:rFonts w:ascii="Arial" w:hAnsi="Arial" w:cs="Arial"/>
                <w:sz w:val="20"/>
                <w:szCs w:val="20"/>
              </w:rPr>
              <w:t xml:space="preserve"> Stream channel capacity by 50% between the section downstream of </w:t>
            </w:r>
            <w:proofErr w:type="spellStart"/>
            <w:r>
              <w:rPr>
                <w:rFonts w:ascii="Arial" w:hAnsi="Arial" w:cs="Arial"/>
                <w:sz w:val="20"/>
                <w:szCs w:val="20"/>
              </w:rPr>
              <w:t>Fowles</w:t>
            </w:r>
            <w:proofErr w:type="spellEnd"/>
            <w:r>
              <w:rPr>
                <w:rFonts w:ascii="Arial" w:hAnsi="Arial" w:cs="Arial"/>
                <w:sz w:val="20"/>
                <w:szCs w:val="20"/>
              </w:rPr>
              <w:t xml:space="preserve"> Bridge and </w:t>
            </w:r>
            <w:proofErr w:type="spellStart"/>
            <w:r>
              <w:rPr>
                <w:rFonts w:ascii="Arial" w:hAnsi="Arial" w:cs="Arial"/>
                <w:sz w:val="20"/>
                <w:szCs w:val="20"/>
              </w:rPr>
              <w:t>Towles</w:t>
            </w:r>
            <w:proofErr w:type="spellEnd"/>
            <w:r>
              <w:rPr>
                <w:rFonts w:ascii="Arial" w:hAnsi="Arial" w:cs="Arial"/>
                <w:sz w:val="20"/>
                <w:szCs w:val="20"/>
              </w:rPr>
              <w:t xml:space="preserve"> Mill weir, retaining the weir structure</w:t>
            </w:r>
          </w:p>
        </w:tc>
        <w:tc>
          <w:tcPr>
            <w:tcW w:w="3544" w:type="dxa"/>
            <w:vMerge/>
            <w:shd w:val="clear" w:color="auto" w:fill="FFFFFF" w:themeFill="background1"/>
            <w:vAlign w:val="center"/>
          </w:tcPr>
          <w:p w:rsidR="00384BED" w:rsidRPr="005813F4" w:rsidRDefault="00384BED" w:rsidP="00384BED">
            <w:pPr>
              <w:tabs>
                <w:tab w:val="left" w:pos="375"/>
              </w:tabs>
              <w:spacing w:before="40" w:after="40"/>
              <w:jc w:val="center"/>
              <w:rPr>
                <w:rFonts w:ascii="Arial" w:hAnsi="Arial" w:cs="Arial"/>
                <w:sz w:val="20"/>
                <w:szCs w:val="20"/>
              </w:rPr>
            </w:pPr>
          </w:p>
        </w:tc>
      </w:tr>
      <w:tr w:rsidR="00384BED" w:rsidRPr="005813F4" w:rsidTr="00384BED">
        <w:trPr>
          <w:trHeight w:val="165"/>
        </w:trPr>
        <w:tc>
          <w:tcPr>
            <w:tcW w:w="1254" w:type="dxa"/>
            <w:shd w:val="clear" w:color="auto" w:fill="FFFFFF" w:themeFill="background1"/>
            <w:vAlign w:val="center"/>
          </w:tcPr>
          <w:p w:rsidR="00384BED" w:rsidRPr="005813F4" w:rsidDel="003178EA" w:rsidRDefault="00384BED" w:rsidP="00384BED">
            <w:pPr>
              <w:spacing w:before="120" w:after="120"/>
              <w:jc w:val="center"/>
              <w:rPr>
                <w:rFonts w:ascii="Arial" w:hAnsi="Arial" w:cs="Arial"/>
                <w:sz w:val="20"/>
                <w:szCs w:val="20"/>
              </w:rPr>
            </w:pPr>
            <w:r>
              <w:rPr>
                <w:rFonts w:ascii="Arial" w:hAnsi="Arial" w:cs="Arial"/>
                <w:sz w:val="20"/>
                <w:szCs w:val="20"/>
              </w:rPr>
              <w:t>4a</w:t>
            </w:r>
          </w:p>
        </w:tc>
        <w:tc>
          <w:tcPr>
            <w:tcW w:w="4536" w:type="dxa"/>
            <w:shd w:val="clear" w:color="auto" w:fill="FFFFFF" w:themeFill="background1"/>
            <w:vAlign w:val="center"/>
          </w:tcPr>
          <w:p w:rsidR="00384BED" w:rsidRPr="005813F4" w:rsidRDefault="00384BED" w:rsidP="00384BED">
            <w:pPr>
              <w:tabs>
                <w:tab w:val="left" w:pos="375"/>
              </w:tabs>
              <w:spacing w:before="40" w:after="40"/>
              <w:jc w:val="center"/>
              <w:rPr>
                <w:rFonts w:ascii="Arial" w:hAnsi="Arial" w:cs="Arial"/>
                <w:sz w:val="20"/>
                <w:szCs w:val="20"/>
              </w:rPr>
            </w:pPr>
            <w:r>
              <w:rPr>
                <w:rFonts w:ascii="Arial" w:hAnsi="Arial" w:cs="Arial"/>
                <w:sz w:val="20"/>
                <w:szCs w:val="20"/>
              </w:rPr>
              <w:t>Lower the existing Redbridge channel invert by 1m and regrade the channel bed to a constant gradient</w:t>
            </w:r>
          </w:p>
        </w:tc>
        <w:tc>
          <w:tcPr>
            <w:tcW w:w="3544" w:type="dxa"/>
            <w:shd w:val="clear" w:color="auto" w:fill="FFFFFF" w:themeFill="background1"/>
            <w:vAlign w:val="center"/>
          </w:tcPr>
          <w:p w:rsidR="00384BED" w:rsidRPr="005813F4" w:rsidRDefault="00384BED" w:rsidP="00384BED">
            <w:pPr>
              <w:tabs>
                <w:tab w:val="left" w:pos="375"/>
              </w:tabs>
              <w:spacing w:before="40" w:after="40"/>
              <w:jc w:val="center"/>
              <w:rPr>
                <w:rFonts w:ascii="Arial" w:hAnsi="Arial" w:cs="Arial"/>
                <w:sz w:val="20"/>
                <w:szCs w:val="20"/>
              </w:rPr>
            </w:pPr>
            <w:r>
              <w:rPr>
                <w:rFonts w:ascii="Arial" w:hAnsi="Arial" w:cs="Arial"/>
                <w:sz w:val="20"/>
                <w:szCs w:val="20"/>
              </w:rPr>
              <w:t>Channel widths are likely to be smaller than the initial model – results may not be achieved without widening the channel in addition to the proposed lowering of the bed levels. Groundwater level is also high in this area and the increase in channel capacity will be taken up by the ingress of groundwater.</w:t>
            </w:r>
          </w:p>
        </w:tc>
      </w:tr>
      <w:tr w:rsidR="00384BED" w:rsidRPr="005813F4" w:rsidTr="00384BED">
        <w:trPr>
          <w:trHeight w:val="165"/>
        </w:trPr>
        <w:tc>
          <w:tcPr>
            <w:tcW w:w="1254" w:type="dxa"/>
            <w:shd w:val="clear" w:color="auto" w:fill="FFFFFF" w:themeFill="background1"/>
            <w:vAlign w:val="center"/>
          </w:tcPr>
          <w:p w:rsidR="00384BED" w:rsidRPr="005813F4" w:rsidDel="003178EA" w:rsidRDefault="00384BED" w:rsidP="00384BED">
            <w:pPr>
              <w:spacing w:before="120" w:after="120"/>
              <w:jc w:val="center"/>
              <w:rPr>
                <w:rFonts w:ascii="Arial" w:hAnsi="Arial" w:cs="Arial"/>
                <w:sz w:val="20"/>
                <w:szCs w:val="20"/>
              </w:rPr>
            </w:pPr>
            <w:r>
              <w:rPr>
                <w:rFonts w:ascii="Arial" w:hAnsi="Arial" w:cs="Arial"/>
                <w:sz w:val="20"/>
                <w:szCs w:val="20"/>
              </w:rPr>
              <w:t>4b</w:t>
            </w:r>
          </w:p>
        </w:tc>
        <w:tc>
          <w:tcPr>
            <w:tcW w:w="4536" w:type="dxa"/>
            <w:shd w:val="clear" w:color="auto" w:fill="FFFFFF" w:themeFill="background1"/>
            <w:vAlign w:val="center"/>
          </w:tcPr>
          <w:p w:rsidR="00384BED" w:rsidRPr="005813F4" w:rsidRDefault="00384BED" w:rsidP="00384BED">
            <w:pPr>
              <w:tabs>
                <w:tab w:val="left" w:pos="375"/>
              </w:tabs>
              <w:spacing w:before="40" w:after="40"/>
              <w:jc w:val="center"/>
              <w:rPr>
                <w:rFonts w:ascii="Arial" w:hAnsi="Arial" w:cs="Arial"/>
                <w:sz w:val="20"/>
                <w:szCs w:val="20"/>
              </w:rPr>
            </w:pPr>
            <w:r>
              <w:rPr>
                <w:rFonts w:ascii="Arial" w:hAnsi="Arial" w:cs="Arial"/>
                <w:sz w:val="20"/>
                <w:szCs w:val="20"/>
              </w:rPr>
              <w:t>Remove weir only (</w:t>
            </w:r>
            <w:proofErr w:type="spellStart"/>
            <w:r>
              <w:rPr>
                <w:rFonts w:ascii="Arial" w:hAnsi="Arial" w:cs="Arial"/>
                <w:sz w:val="20"/>
                <w:szCs w:val="20"/>
              </w:rPr>
              <w:t>Towles</w:t>
            </w:r>
            <w:proofErr w:type="spellEnd"/>
            <w:r>
              <w:rPr>
                <w:rFonts w:ascii="Arial" w:hAnsi="Arial" w:cs="Arial"/>
                <w:sz w:val="20"/>
                <w:szCs w:val="20"/>
              </w:rPr>
              <w:t xml:space="preserve"> Mill)</w:t>
            </w:r>
          </w:p>
        </w:tc>
        <w:tc>
          <w:tcPr>
            <w:tcW w:w="3544" w:type="dxa"/>
            <w:shd w:val="clear" w:color="auto" w:fill="FFFFFF" w:themeFill="background1"/>
            <w:vAlign w:val="center"/>
          </w:tcPr>
          <w:p w:rsidR="00384BED" w:rsidRPr="005813F4" w:rsidRDefault="00384BED" w:rsidP="00384BED">
            <w:pPr>
              <w:tabs>
                <w:tab w:val="left" w:pos="375"/>
              </w:tabs>
              <w:spacing w:before="40" w:after="40"/>
              <w:jc w:val="center"/>
              <w:rPr>
                <w:rFonts w:ascii="Arial" w:hAnsi="Arial" w:cs="Arial"/>
                <w:sz w:val="20"/>
                <w:szCs w:val="20"/>
              </w:rPr>
            </w:pPr>
            <w:proofErr w:type="spellStart"/>
            <w:r>
              <w:rPr>
                <w:rFonts w:ascii="Arial" w:hAnsi="Arial" w:cs="Arial"/>
                <w:sz w:val="20"/>
                <w:szCs w:val="20"/>
              </w:rPr>
              <w:t>Towles</w:t>
            </w:r>
            <w:proofErr w:type="spellEnd"/>
            <w:r>
              <w:rPr>
                <w:rFonts w:ascii="Arial" w:hAnsi="Arial" w:cs="Arial"/>
                <w:sz w:val="20"/>
                <w:szCs w:val="20"/>
              </w:rPr>
              <w:t xml:space="preserve"> Mill weir controls the water levels during the lower flow events to the watercourse downstream. The removal of the weir would have an impact on local hydrology and would increase the risk of flooding further downstream.</w:t>
            </w:r>
          </w:p>
        </w:tc>
      </w:tr>
      <w:tr w:rsidR="00384BED" w:rsidRPr="005813F4" w:rsidTr="00384BED">
        <w:trPr>
          <w:trHeight w:val="165"/>
        </w:trPr>
        <w:tc>
          <w:tcPr>
            <w:tcW w:w="1254" w:type="dxa"/>
            <w:shd w:val="clear" w:color="auto" w:fill="FFFFFF" w:themeFill="background1"/>
            <w:vAlign w:val="center"/>
          </w:tcPr>
          <w:p w:rsidR="00384BED" w:rsidRPr="005813F4" w:rsidDel="003178EA" w:rsidRDefault="00384BED" w:rsidP="00384BED">
            <w:pPr>
              <w:spacing w:before="120" w:after="120"/>
              <w:jc w:val="center"/>
              <w:rPr>
                <w:rFonts w:ascii="Arial" w:hAnsi="Arial" w:cs="Arial"/>
                <w:sz w:val="20"/>
                <w:szCs w:val="20"/>
              </w:rPr>
            </w:pPr>
            <w:r>
              <w:rPr>
                <w:rFonts w:ascii="Arial" w:hAnsi="Arial" w:cs="Arial"/>
                <w:sz w:val="20"/>
                <w:szCs w:val="20"/>
              </w:rPr>
              <w:t>4c</w:t>
            </w:r>
          </w:p>
        </w:tc>
        <w:tc>
          <w:tcPr>
            <w:tcW w:w="4536" w:type="dxa"/>
            <w:shd w:val="clear" w:color="auto" w:fill="FFFFFF" w:themeFill="background1"/>
            <w:vAlign w:val="center"/>
          </w:tcPr>
          <w:p w:rsidR="00384BED" w:rsidRPr="005813F4" w:rsidRDefault="00384BED" w:rsidP="00384BED">
            <w:pPr>
              <w:tabs>
                <w:tab w:val="left" w:pos="375"/>
              </w:tabs>
              <w:spacing w:before="40" w:after="40"/>
              <w:jc w:val="center"/>
              <w:rPr>
                <w:rFonts w:ascii="Arial" w:hAnsi="Arial" w:cs="Arial"/>
                <w:sz w:val="20"/>
                <w:szCs w:val="20"/>
              </w:rPr>
            </w:pPr>
            <w:r>
              <w:rPr>
                <w:rFonts w:ascii="Arial" w:hAnsi="Arial" w:cs="Arial"/>
                <w:sz w:val="20"/>
                <w:szCs w:val="20"/>
              </w:rPr>
              <w:t>Enlarge Redbridge channel (right bank only) to a width of 50m over a length of 250m</w:t>
            </w:r>
          </w:p>
        </w:tc>
        <w:tc>
          <w:tcPr>
            <w:tcW w:w="3544" w:type="dxa"/>
            <w:shd w:val="clear" w:color="auto" w:fill="FFFFFF" w:themeFill="background1"/>
            <w:vAlign w:val="center"/>
          </w:tcPr>
          <w:p w:rsidR="00384BED" w:rsidRDefault="00384BED" w:rsidP="00384BED">
            <w:pPr>
              <w:pStyle w:val="ListParagraph"/>
              <w:numPr>
                <w:ilvl w:val="0"/>
                <w:numId w:val="1"/>
              </w:numPr>
              <w:tabs>
                <w:tab w:val="left" w:pos="375"/>
              </w:tabs>
              <w:spacing w:before="40" w:after="40"/>
              <w:ind w:left="306" w:hanging="284"/>
              <w:rPr>
                <w:rFonts w:ascii="Arial" w:hAnsi="Arial" w:cs="Arial"/>
                <w:sz w:val="20"/>
                <w:szCs w:val="20"/>
              </w:rPr>
            </w:pPr>
            <w:r>
              <w:rPr>
                <w:rFonts w:ascii="Arial" w:hAnsi="Arial" w:cs="Arial"/>
                <w:sz w:val="20"/>
                <w:szCs w:val="20"/>
              </w:rPr>
              <w:t>High groundwater levels.</w:t>
            </w:r>
          </w:p>
          <w:p w:rsidR="00384BED" w:rsidRDefault="00384BED" w:rsidP="00384BED">
            <w:pPr>
              <w:pStyle w:val="ListParagraph"/>
              <w:numPr>
                <w:ilvl w:val="0"/>
                <w:numId w:val="1"/>
              </w:numPr>
              <w:tabs>
                <w:tab w:val="left" w:pos="375"/>
              </w:tabs>
              <w:spacing w:before="40" w:after="40"/>
              <w:ind w:left="306" w:hanging="284"/>
              <w:rPr>
                <w:rFonts w:ascii="Arial" w:hAnsi="Arial" w:cs="Arial"/>
                <w:sz w:val="20"/>
                <w:szCs w:val="20"/>
              </w:rPr>
            </w:pPr>
            <w:r>
              <w:rPr>
                <w:rFonts w:ascii="Arial" w:hAnsi="Arial" w:cs="Arial"/>
                <w:sz w:val="20"/>
                <w:szCs w:val="20"/>
              </w:rPr>
              <w:t>Channels would have to be substantially widened.</w:t>
            </w:r>
          </w:p>
          <w:p w:rsidR="00384BED" w:rsidRDefault="00384BED" w:rsidP="00384BED">
            <w:pPr>
              <w:pStyle w:val="ListParagraph"/>
              <w:numPr>
                <w:ilvl w:val="0"/>
                <w:numId w:val="1"/>
              </w:numPr>
              <w:tabs>
                <w:tab w:val="left" w:pos="375"/>
              </w:tabs>
              <w:spacing w:before="40" w:after="40"/>
              <w:ind w:left="306" w:hanging="284"/>
              <w:rPr>
                <w:rFonts w:ascii="Arial" w:hAnsi="Arial" w:cs="Arial"/>
                <w:sz w:val="20"/>
                <w:szCs w:val="20"/>
              </w:rPr>
            </w:pPr>
            <w:r>
              <w:rPr>
                <w:rFonts w:ascii="Arial" w:hAnsi="Arial" w:cs="Arial"/>
                <w:sz w:val="20"/>
                <w:szCs w:val="20"/>
              </w:rPr>
              <w:t>Land not owned by Network Rail</w:t>
            </w:r>
          </w:p>
          <w:p w:rsidR="00384BED" w:rsidRPr="00B478AF" w:rsidRDefault="00384BED" w:rsidP="00384BED">
            <w:pPr>
              <w:pStyle w:val="ListParagraph"/>
              <w:numPr>
                <w:ilvl w:val="0"/>
                <w:numId w:val="1"/>
              </w:numPr>
              <w:tabs>
                <w:tab w:val="left" w:pos="375"/>
              </w:tabs>
              <w:spacing w:before="40" w:after="40"/>
              <w:ind w:left="306" w:hanging="284"/>
              <w:rPr>
                <w:rFonts w:ascii="Arial" w:hAnsi="Arial" w:cs="Arial"/>
                <w:sz w:val="20"/>
                <w:szCs w:val="20"/>
              </w:rPr>
            </w:pPr>
            <w:r>
              <w:rPr>
                <w:rFonts w:ascii="Arial" w:hAnsi="Arial" w:cs="Arial"/>
                <w:sz w:val="20"/>
                <w:szCs w:val="20"/>
              </w:rPr>
              <w:t>Time scales unlikely to be achieved within the current project duration due to works on Third Party property and planning consents.</w:t>
            </w:r>
          </w:p>
        </w:tc>
      </w:tr>
      <w:tr w:rsidR="00384BED" w:rsidRPr="005813F4" w:rsidTr="00384BED">
        <w:trPr>
          <w:trHeight w:val="165"/>
        </w:trPr>
        <w:tc>
          <w:tcPr>
            <w:tcW w:w="1254" w:type="dxa"/>
            <w:shd w:val="clear" w:color="auto" w:fill="FFFFFF" w:themeFill="background1"/>
            <w:vAlign w:val="center"/>
          </w:tcPr>
          <w:p w:rsidR="00384BED" w:rsidRPr="005813F4" w:rsidDel="003178EA" w:rsidRDefault="00384BED" w:rsidP="00384BED">
            <w:pPr>
              <w:spacing w:before="120" w:after="120"/>
              <w:jc w:val="center"/>
              <w:rPr>
                <w:rFonts w:ascii="Arial" w:hAnsi="Arial" w:cs="Arial"/>
                <w:sz w:val="20"/>
                <w:szCs w:val="20"/>
              </w:rPr>
            </w:pPr>
            <w:r>
              <w:rPr>
                <w:rFonts w:ascii="Arial" w:hAnsi="Arial" w:cs="Arial"/>
                <w:sz w:val="20"/>
                <w:szCs w:val="20"/>
              </w:rPr>
              <w:t>4d</w:t>
            </w:r>
          </w:p>
        </w:tc>
        <w:tc>
          <w:tcPr>
            <w:tcW w:w="4536" w:type="dxa"/>
            <w:shd w:val="clear" w:color="auto" w:fill="FFFFFF" w:themeFill="background1"/>
            <w:vAlign w:val="center"/>
          </w:tcPr>
          <w:p w:rsidR="00384BED" w:rsidRPr="005813F4" w:rsidRDefault="00384BED" w:rsidP="00384BED">
            <w:pPr>
              <w:tabs>
                <w:tab w:val="left" w:pos="375"/>
              </w:tabs>
              <w:spacing w:before="40" w:after="40"/>
              <w:jc w:val="center"/>
              <w:rPr>
                <w:rFonts w:ascii="Arial" w:hAnsi="Arial" w:cs="Arial"/>
                <w:sz w:val="20"/>
                <w:szCs w:val="20"/>
              </w:rPr>
            </w:pPr>
            <w:r>
              <w:rPr>
                <w:rFonts w:ascii="Arial" w:hAnsi="Arial" w:cs="Arial"/>
                <w:sz w:val="20"/>
                <w:szCs w:val="20"/>
              </w:rPr>
              <w:t>Combination of simulations 4a and 4b</w:t>
            </w:r>
          </w:p>
        </w:tc>
        <w:tc>
          <w:tcPr>
            <w:tcW w:w="3544" w:type="dxa"/>
            <w:shd w:val="clear" w:color="auto" w:fill="FFFFFF" w:themeFill="background1"/>
            <w:vAlign w:val="center"/>
          </w:tcPr>
          <w:p w:rsidR="00384BED" w:rsidRPr="005813F4" w:rsidRDefault="00384BED" w:rsidP="00384BED">
            <w:pPr>
              <w:tabs>
                <w:tab w:val="left" w:pos="375"/>
              </w:tabs>
              <w:spacing w:before="40" w:after="40"/>
              <w:jc w:val="center"/>
              <w:rPr>
                <w:rFonts w:ascii="Arial" w:hAnsi="Arial" w:cs="Arial"/>
                <w:sz w:val="20"/>
                <w:szCs w:val="20"/>
              </w:rPr>
            </w:pPr>
            <w:r>
              <w:rPr>
                <w:rFonts w:ascii="Arial" w:hAnsi="Arial" w:cs="Arial"/>
                <w:sz w:val="20"/>
                <w:szCs w:val="20"/>
              </w:rPr>
              <w:t>As per simulations 4a and 4b.</w:t>
            </w:r>
          </w:p>
        </w:tc>
      </w:tr>
    </w:tbl>
    <w:p w:rsidR="00EF0DE4" w:rsidRPr="00384BED" w:rsidRDefault="00384BED" w:rsidP="00384BED">
      <w:pPr>
        <w:jc w:val="right"/>
        <w:rPr>
          <w:b/>
        </w:rPr>
      </w:pPr>
      <w:r w:rsidRPr="00384BED">
        <w:rPr>
          <w:b/>
        </w:rPr>
        <w:t>APPENDIX 3</w:t>
      </w:r>
    </w:p>
    <w:p w:rsidR="00384BED" w:rsidRDefault="00384BED" w:rsidP="00384BED">
      <w:pPr>
        <w:jc w:val="right"/>
        <w:rPr>
          <w:b/>
        </w:rPr>
      </w:pPr>
      <w:r w:rsidRPr="00384BED">
        <w:rPr>
          <w:b/>
        </w:rPr>
        <w:t>MITIGATION OPTIONS CONSIDERED</w:t>
      </w:r>
      <w:bookmarkStart w:id="0" w:name="_GoBack"/>
      <w:bookmarkEnd w:id="0"/>
    </w:p>
    <w:p w:rsidR="003F2595" w:rsidRDefault="003F2595" w:rsidP="00384BED">
      <w:pPr>
        <w:jc w:val="right"/>
        <w:rPr>
          <w:b/>
        </w:rPr>
      </w:pPr>
    </w:p>
    <w:p w:rsidR="003F2595" w:rsidRPr="003F2595" w:rsidRDefault="003F2595" w:rsidP="00384BED">
      <w:pPr>
        <w:jc w:val="right"/>
        <w:rPr>
          <w:b/>
        </w:rPr>
      </w:pPr>
      <w:r w:rsidRPr="003F2595">
        <w:t xml:space="preserve">Source: </w:t>
      </w:r>
      <w:r w:rsidRPr="003F2595">
        <w:t>Table 2 p11 FRA</w:t>
      </w:r>
    </w:p>
    <w:sectPr w:rsidR="003F2595" w:rsidRPr="003F2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5094"/>
    <w:multiLevelType w:val="hybridMultilevel"/>
    <w:tmpl w:val="1A94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AD"/>
    <w:rsid w:val="002747AD"/>
    <w:rsid w:val="00384BED"/>
    <w:rsid w:val="003F2595"/>
    <w:rsid w:val="004343F3"/>
    <w:rsid w:val="00984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1509</Characters>
  <Application>Microsoft Office Word</Application>
  <DocSecurity>0</DocSecurity>
  <Lines>12</Lines>
  <Paragraphs>3</Paragraphs>
  <ScaleCrop>false</ScaleCrop>
  <Company>Oxford City Council</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Fiona.Bartholomew</dc:creator>
  <cp:lastModifiedBy>Fiona.Bartholomew</cp:lastModifiedBy>
  <cp:revision>3</cp:revision>
  <dcterms:created xsi:type="dcterms:W3CDTF">2016-04-19T14:49:00Z</dcterms:created>
  <dcterms:modified xsi:type="dcterms:W3CDTF">2016-04-19T15:19:00Z</dcterms:modified>
</cp:coreProperties>
</file>